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9C7723" w14:textId="77777777" w:rsidR="00C22979" w:rsidRDefault="00C22979" w:rsidP="00C22979">
      <w:pPr>
        <w:spacing w:line="480" w:lineRule="auto"/>
        <w:jc w:val="center"/>
        <w:rPr>
          <w:rFonts w:ascii="Times New Roman" w:hAnsi="Times New Roman" w:cs="Times New Roman"/>
          <w:sz w:val="24"/>
          <w:szCs w:val="24"/>
          <w:lang w:val="en-US"/>
        </w:rPr>
      </w:pPr>
    </w:p>
    <w:p w14:paraId="6E9D6FE7" w14:textId="77777777" w:rsidR="00C22979" w:rsidRDefault="00C22979" w:rsidP="00C22979">
      <w:pPr>
        <w:spacing w:line="480" w:lineRule="auto"/>
        <w:jc w:val="center"/>
        <w:rPr>
          <w:rFonts w:ascii="Times New Roman" w:hAnsi="Times New Roman" w:cs="Times New Roman"/>
          <w:sz w:val="24"/>
          <w:szCs w:val="24"/>
          <w:lang w:val="en-US"/>
        </w:rPr>
      </w:pPr>
    </w:p>
    <w:p w14:paraId="724CE4D6" w14:textId="3548CDCB" w:rsidR="00C22979" w:rsidRDefault="00C22979" w:rsidP="00C22979">
      <w:pPr>
        <w:spacing w:line="480" w:lineRule="auto"/>
        <w:jc w:val="center"/>
        <w:rPr>
          <w:rFonts w:ascii="Times New Roman" w:hAnsi="Times New Roman" w:cs="Times New Roman"/>
          <w:sz w:val="24"/>
          <w:szCs w:val="24"/>
          <w:lang w:val="en-US"/>
        </w:rPr>
      </w:pPr>
    </w:p>
    <w:p w14:paraId="450BC21B" w14:textId="6F226C15" w:rsidR="00C22979" w:rsidRDefault="00C22979" w:rsidP="00C22979">
      <w:pPr>
        <w:spacing w:line="480" w:lineRule="auto"/>
        <w:jc w:val="center"/>
        <w:rPr>
          <w:rFonts w:ascii="Times New Roman" w:hAnsi="Times New Roman" w:cs="Times New Roman"/>
          <w:sz w:val="24"/>
          <w:szCs w:val="24"/>
          <w:lang w:val="en-US"/>
        </w:rPr>
      </w:pPr>
    </w:p>
    <w:p w14:paraId="16995F83" w14:textId="77777777" w:rsidR="00C22979" w:rsidRDefault="00C22979" w:rsidP="00C22979">
      <w:pPr>
        <w:spacing w:line="480" w:lineRule="auto"/>
        <w:jc w:val="center"/>
        <w:rPr>
          <w:rFonts w:ascii="Times New Roman" w:hAnsi="Times New Roman" w:cs="Times New Roman"/>
          <w:sz w:val="24"/>
          <w:szCs w:val="24"/>
          <w:lang w:val="en-US"/>
        </w:rPr>
      </w:pPr>
    </w:p>
    <w:p w14:paraId="484AF7F0" w14:textId="77777777" w:rsidR="00C22979" w:rsidRDefault="00C22979" w:rsidP="00C22979">
      <w:pPr>
        <w:spacing w:line="480" w:lineRule="auto"/>
        <w:jc w:val="center"/>
        <w:rPr>
          <w:rFonts w:ascii="Times New Roman" w:hAnsi="Times New Roman" w:cs="Times New Roman"/>
          <w:sz w:val="24"/>
          <w:szCs w:val="24"/>
          <w:lang w:val="en-US"/>
        </w:rPr>
      </w:pPr>
    </w:p>
    <w:p w14:paraId="1D76BD69" w14:textId="0AF3DBFC" w:rsidR="00A23E89" w:rsidRDefault="00DE7647" w:rsidP="00C2297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Accounting Case Study Analysis</w:t>
      </w:r>
    </w:p>
    <w:p w14:paraId="05B4EEA3" w14:textId="7E3681AC" w:rsidR="00CD0155" w:rsidRDefault="00CD0155" w:rsidP="00C2297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C1991C8" w14:textId="00511461" w:rsidR="00CD0155" w:rsidRDefault="00CD0155" w:rsidP="00C2297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3EBD679" w14:textId="77777777" w:rsidR="00C22979" w:rsidRDefault="00C22979" w:rsidP="00C2297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1877DCB" w14:textId="1DE0CB81" w:rsidR="00CD0155" w:rsidRDefault="00CD0155" w:rsidP="00C22979">
      <w:pPr>
        <w:spacing w:line="480" w:lineRule="auto"/>
        <w:jc w:val="center"/>
        <w:rPr>
          <w:rFonts w:ascii="Times New Roman" w:hAnsi="Times New Roman" w:cs="Times New Roman"/>
          <w:sz w:val="24"/>
          <w:szCs w:val="24"/>
          <w:lang w:val="en-US"/>
        </w:rPr>
      </w:pPr>
      <w:r w:rsidRPr="00CD0155">
        <w:rPr>
          <w:rFonts w:ascii="Times New Roman" w:hAnsi="Times New Roman" w:cs="Times New Roman"/>
          <w:sz w:val="24"/>
          <w:szCs w:val="24"/>
          <w:lang w:val="en-US"/>
        </w:rPr>
        <w:lastRenderedPageBreak/>
        <w:t>Accounting Case Study Analysis</w:t>
      </w:r>
    </w:p>
    <w:p w14:paraId="59E37074" w14:textId="77777777" w:rsidR="00D96B65" w:rsidRPr="00D96B65" w:rsidRDefault="00D96B65" w:rsidP="00C22979">
      <w:pPr>
        <w:spacing w:line="480" w:lineRule="auto"/>
        <w:ind w:firstLine="720"/>
        <w:rPr>
          <w:rFonts w:ascii="Times New Roman" w:hAnsi="Times New Roman" w:cs="Times New Roman"/>
          <w:sz w:val="24"/>
          <w:szCs w:val="24"/>
          <w:lang w:val="en-US"/>
        </w:rPr>
      </w:pPr>
      <w:r w:rsidRPr="00D96B65">
        <w:rPr>
          <w:rFonts w:ascii="Times New Roman" w:hAnsi="Times New Roman" w:cs="Times New Roman"/>
          <w:sz w:val="24"/>
          <w:szCs w:val="24"/>
          <w:lang w:val="en-US"/>
        </w:rPr>
        <w:t>This paper is based on the analysis of two systems of standardization: International Financial Reporting Standards and Generally Accepted Accounting Principles in relation to a case study conducted on a business on a fictitious corporation called Klugen has have been reported in Securities and Exchange Commission (2008). The study seeks to merge the divergent opinions and provide solutions to constantly emanating problems associated to entities that carry out international activities of their company. Those problems have been answered in this paper conclusively in the form of questions that were outlined below.</w:t>
      </w:r>
    </w:p>
    <w:p w14:paraId="055E0948" w14:textId="77777777" w:rsidR="00D96B65" w:rsidRPr="00D96B65" w:rsidRDefault="00D96B65" w:rsidP="00C22979">
      <w:pPr>
        <w:spacing w:line="480" w:lineRule="auto"/>
        <w:rPr>
          <w:rFonts w:ascii="Times New Roman" w:hAnsi="Times New Roman" w:cs="Times New Roman"/>
          <w:b/>
          <w:bCs/>
          <w:sz w:val="24"/>
          <w:szCs w:val="24"/>
          <w:lang w:val="en-US"/>
        </w:rPr>
      </w:pPr>
      <w:r w:rsidRPr="00D96B65">
        <w:rPr>
          <w:rFonts w:ascii="Times New Roman" w:hAnsi="Times New Roman" w:cs="Times New Roman"/>
          <w:b/>
          <w:bCs/>
          <w:sz w:val="24"/>
          <w:szCs w:val="24"/>
          <w:lang w:val="en-US"/>
        </w:rPr>
        <w:t>Question 1</w:t>
      </w:r>
    </w:p>
    <w:p w14:paraId="0396BB4B" w14:textId="51128FD6" w:rsidR="00D96B65" w:rsidRPr="00D96B65" w:rsidRDefault="00D96B65" w:rsidP="00C22979">
      <w:pPr>
        <w:spacing w:line="480" w:lineRule="auto"/>
        <w:ind w:firstLine="720"/>
        <w:rPr>
          <w:rFonts w:ascii="Times New Roman" w:hAnsi="Times New Roman" w:cs="Times New Roman"/>
          <w:sz w:val="24"/>
          <w:szCs w:val="24"/>
          <w:lang w:val="en-US"/>
        </w:rPr>
      </w:pPr>
      <w:r w:rsidRPr="00D96B65">
        <w:rPr>
          <w:rFonts w:ascii="Times New Roman" w:hAnsi="Times New Roman" w:cs="Times New Roman"/>
          <w:sz w:val="24"/>
          <w:szCs w:val="24"/>
          <w:lang w:val="en-US"/>
        </w:rPr>
        <w:t>The key financial ratios that will be affected by the adoption of FAS 141R and FAS 160 include</w:t>
      </w:r>
      <w:r w:rsidR="001A29BD">
        <w:rPr>
          <w:rFonts w:ascii="Times New Roman" w:hAnsi="Times New Roman" w:cs="Times New Roman"/>
          <w:sz w:val="24"/>
          <w:szCs w:val="24"/>
          <w:lang w:val="en-US"/>
        </w:rPr>
        <w:t>,</w:t>
      </w:r>
      <w:r w:rsidRPr="00D96B65">
        <w:rPr>
          <w:rFonts w:ascii="Times New Roman" w:hAnsi="Times New Roman" w:cs="Times New Roman"/>
          <w:sz w:val="24"/>
          <w:szCs w:val="24"/>
          <w:lang w:val="en-US"/>
        </w:rPr>
        <w:t xml:space="preserve"> among others</w:t>
      </w:r>
      <w:r w:rsidR="001A29BD">
        <w:rPr>
          <w:rFonts w:ascii="Times New Roman" w:hAnsi="Times New Roman" w:cs="Times New Roman"/>
          <w:sz w:val="24"/>
          <w:szCs w:val="24"/>
          <w:lang w:val="en-US"/>
        </w:rPr>
        <w:t>,</w:t>
      </w:r>
      <w:r w:rsidRPr="00D96B65">
        <w:rPr>
          <w:rFonts w:ascii="Times New Roman" w:hAnsi="Times New Roman" w:cs="Times New Roman"/>
          <w:sz w:val="24"/>
          <w:szCs w:val="24"/>
          <w:lang w:val="en-US"/>
        </w:rPr>
        <w:t xml:space="preserve"> subsidiary assets and liabilities. Before the unveiling of the new financial reforms</w:t>
      </w:r>
      <w:r w:rsidR="001A29BD">
        <w:rPr>
          <w:rFonts w:ascii="Times New Roman" w:hAnsi="Times New Roman" w:cs="Times New Roman"/>
          <w:sz w:val="24"/>
          <w:szCs w:val="24"/>
          <w:lang w:val="en-US"/>
        </w:rPr>
        <w:t>,</w:t>
      </w:r>
      <w:r w:rsidRPr="00D96B65">
        <w:rPr>
          <w:rFonts w:ascii="Times New Roman" w:hAnsi="Times New Roman" w:cs="Times New Roman"/>
          <w:sz w:val="24"/>
          <w:szCs w:val="24"/>
          <w:lang w:val="en-US"/>
        </w:rPr>
        <w:t xml:space="preserve"> the studied company (Klugen Corporation) had their assets and liabilities revalued with regard to the percentage acquisition of the original or Mother Company (that is up to the time when the case study was conducted). This corporation has three overseas subsidiary companies in Europe that uses International Financial Reporting Standards to evaluate their financial reports before converting them to the mother company that uses General Accepted Accounting Principles. This implied that outlining and calculating assets and liabilities will henceforth be done through revaluing the assets and liabilities to fair market value at given acquisition dates</w:t>
      </w:r>
      <w:r w:rsidR="00DE5B48">
        <w:rPr>
          <w:rFonts w:ascii="Times New Roman" w:hAnsi="Times New Roman" w:cs="Times New Roman"/>
          <w:sz w:val="24"/>
          <w:szCs w:val="24"/>
          <w:lang w:val="en-US"/>
        </w:rPr>
        <w:t xml:space="preserve"> (</w:t>
      </w:r>
      <w:r w:rsidR="00DE5B48" w:rsidRPr="00D96B65">
        <w:rPr>
          <w:rFonts w:ascii="Times New Roman" w:hAnsi="Times New Roman" w:cs="Times New Roman"/>
          <w:sz w:val="24"/>
          <w:szCs w:val="24"/>
          <w:lang w:val="en-US"/>
        </w:rPr>
        <w:t>James, 2010</w:t>
      </w:r>
      <w:r w:rsidR="00DE5B48">
        <w:rPr>
          <w:rFonts w:ascii="Times New Roman" w:hAnsi="Times New Roman" w:cs="Times New Roman"/>
          <w:sz w:val="24"/>
          <w:szCs w:val="24"/>
          <w:lang w:val="en-US"/>
        </w:rPr>
        <w:t>)</w:t>
      </w:r>
      <w:r w:rsidRPr="00D96B65">
        <w:rPr>
          <w:rFonts w:ascii="Times New Roman" w:hAnsi="Times New Roman" w:cs="Times New Roman"/>
          <w:sz w:val="24"/>
          <w:szCs w:val="24"/>
          <w:lang w:val="en-US"/>
        </w:rPr>
        <w:t>. The effect of this change will be that at any time of economic recession</w:t>
      </w:r>
      <w:r w:rsidR="001A29BD">
        <w:rPr>
          <w:rFonts w:ascii="Times New Roman" w:hAnsi="Times New Roman" w:cs="Times New Roman"/>
          <w:sz w:val="24"/>
          <w:szCs w:val="24"/>
          <w:lang w:val="en-US"/>
        </w:rPr>
        <w:t>,</w:t>
      </w:r>
      <w:r w:rsidRPr="00D96B65">
        <w:rPr>
          <w:rFonts w:ascii="Times New Roman" w:hAnsi="Times New Roman" w:cs="Times New Roman"/>
          <w:sz w:val="24"/>
          <w:szCs w:val="24"/>
          <w:lang w:val="en-US"/>
        </w:rPr>
        <w:t xml:space="preserve"> the company will lose good amounts in revenue when the liabilities are accounted for through the market value. The value of the assets which are the company’s biggest earners will return in devalued sums in comparison to what they would achieve in the normal market evaluation.</w:t>
      </w:r>
    </w:p>
    <w:p w14:paraId="489BDF32" w14:textId="77777777" w:rsidR="00D96B65" w:rsidRPr="00D96B65" w:rsidRDefault="00D96B65" w:rsidP="00C22979">
      <w:pPr>
        <w:spacing w:line="480" w:lineRule="auto"/>
        <w:rPr>
          <w:rFonts w:ascii="Times New Roman" w:hAnsi="Times New Roman" w:cs="Times New Roman"/>
          <w:b/>
          <w:bCs/>
          <w:sz w:val="24"/>
          <w:szCs w:val="24"/>
          <w:lang w:val="en-US"/>
        </w:rPr>
      </w:pPr>
      <w:r w:rsidRPr="00D96B65">
        <w:rPr>
          <w:rFonts w:ascii="Times New Roman" w:hAnsi="Times New Roman" w:cs="Times New Roman"/>
          <w:b/>
          <w:bCs/>
          <w:sz w:val="24"/>
          <w:szCs w:val="24"/>
          <w:lang w:val="en-US"/>
        </w:rPr>
        <w:t>Question 2</w:t>
      </w:r>
    </w:p>
    <w:p w14:paraId="1ECE6EC9" w14:textId="38869BDC" w:rsidR="00D96B65" w:rsidRPr="00D96B65" w:rsidRDefault="00D96B65" w:rsidP="00C22979">
      <w:pPr>
        <w:spacing w:line="480" w:lineRule="auto"/>
        <w:ind w:firstLine="720"/>
        <w:rPr>
          <w:rFonts w:ascii="Times New Roman" w:hAnsi="Times New Roman" w:cs="Times New Roman"/>
          <w:sz w:val="24"/>
          <w:szCs w:val="24"/>
          <w:lang w:val="en-US"/>
        </w:rPr>
      </w:pPr>
      <w:r w:rsidRPr="00D96B65">
        <w:rPr>
          <w:rFonts w:ascii="Times New Roman" w:hAnsi="Times New Roman" w:cs="Times New Roman"/>
          <w:sz w:val="24"/>
          <w:szCs w:val="24"/>
          <w:lang w:val="en-US"/>
        </w:rPr>
        <w:lastRenderedPageBreak/>
        <w:t xml:space="preserve">The forthcoming changes may affect the company’s acquisition strategies significantly within a short term of inception before stabilization is achieved. This will be due to the changes that will come with the </w:t>
      </w:r>
      <w:r w:rsidR="001A29BD">
        <w:rPr>
          <w:rFonts w:ascii="Times New Roman" w:hAnsi="Times New Roman" w:cs="Times New Roman"/>
          <w:sz w:val="24"/>
          <w:szCs w:val="24"/>
          <w:lang w:val="en-US"/>
        </w:rPr>
        <w:t>c</w:t>
      </w:r>
      <w:r w:rsidRPr="00D96B65">
        <w:rPr>
          <w:rFonts w:ascii="Times New Roman" w:hAnsi="Times New Roman" w:cs="Times New Roman"/>
          <w:sz w:val="24"/>
          <w:szCs w:val="24"/>
          <w:lang w:val="en-US"/>
        </w:rPr>
        <w:t>orporation’s data system, training of the staff on the new reforms and installation of new financial equipment. It</w:t>
      </w:r>
      <w:r w:rsidR="001A29BD">
        <w:rPr>
          <w:rFonts w:ascii="Times New Roman" w:hAnsi="Times New Roman" w:cs="Times New Roman"/>
          <w:sz w:val="24"/>
          <w:szCs w:val="24"/>
          <w:lang w:val="en-US"/>
        </w:rPr>
        <w:t xml:space="preserve"> is,</w:t>
      </w:r>
      <w:r w:rsidRPr="00D96B65">
        <w:rPr>
          <w:rFonts w:ascii="Times New Roman" w:hAnsi="Times New Roman" w:cs="Times New Roman"/>
          <w:sz w:val="24"/>
          <w:szCs w:val="24"/>
          <w:lang w:val="en-US"/>
        </w:rPr>
        <w:t xml:space="preserve"> however</w:t>
      </w:r>
      <w:r w:rsidR="001A29BD">
        <w:rPr>
          <w:rFonts w:ascii="Times New Roman" w:hAnsi="Times New Roman" w:cs="Times New Roman"/>
          <w:sz w:val="24"/>
          <w:szCs w:val="24"/>
          <w:lang w:val="en-US"/>
        </w:rPr>
        <w:t>,</w:t>
      </w:r>
      <w:r w:rsidRPr="00D96B65">
        <w:rPr>
          <w:rFonts w:ascii="Times New Roman" w:hAnsi="Times New Roman" w:cs="Times New Roman"/>
          <w:sz w:val="24"/>
          <w:szCs w:val="24"/>
          <w:lang w:val="en-US"/>
        </w:rPr>
        <w:t xml:space="preserve"> relevant to note that the study was primarily conducted from originality that there have been problems in integrating GAAP and IFRS systems. </w:t>
      </w:r>
      <w:r w:rsidR="0051233C" w:rsidRPr="00D96B65">
        <w:rPr>
          <w:rFonts w:ascii="Times New Roman" w:hAnsi="Times New Roman" w:cs="Times New Roman"/>
          <w:sz w:val="24"/>
          <w:szCs w:val="24"/>
          <w:lang w:val="en-US"/>
        </w:rPr>
        <w:t>Therefore,</w:t>
      </w:r>
      <w:r w:rsidRPr="00D96B65">
        <w:rPr>
          <w:rFonts w:ascii="Times New Roman" w:hAnsi="Times New Roman" w:cs="Times New Roman"/>
          <w:sz w:val="24"/>
          <w:szCs w:val="24"/>
          <w:lang w:val="en-US"/>
        </w:rPr>
        <w:t xml:space="preserve"> as the new reforms bring in different changes in acquisition policies, the corporation’s head of finance Irma believes that the changes will make </w:t>
      </w:r>
      <w:r w:rsidR="001A29BD">
        <w:rPr>
          <w:rFonts w:ascii="Times New Roman" w:hAnsi="Times New Roman" w:cs="Times New Roman"/>
          <w:sz w:val="24"/>
          <w:szCs w:val="24"/>
          <w:lang w:val="en-US"/>
        </w:rPr>
        <w:t xml:space="preserve">it </w:t>
      </w:r>
      <w:r w:rsidRPr="00D96B65">
        <w:rPr>
          <w:rFonts w:ascii="Times New Roman" w:hAnsi="Times New Roman" w:cs="Times New Roman"/>
          <w:sz w:val="24"/>
          <w:szCs w:val="24"/>
          <w:lang w:val="en-US"/>
        </w:rPr>
        <w:t>easier</w:t>
      </w:r>
      <w:r w:rsidR="001A29BD">
        <w:rPr>
          <w:rFonts w:ascii="Times New Roman" w:hAnsi="Times New Roman" w:cs="Times New Roman"/>
          <w:sz w:val="24"/>
          <w:szCs w:val="24"/>
          <w:lang w:val="en-US"/>
        </w:rPr>
        <w:t>,</w:t>
      </w:r>
      <w:r w:rsidRPr="00D96B65">
        <w:rPr>
          <w:rFonts w:ascii="Times New Roman" w:hAnsi="Times New Roman" w:cs="Times New Roman"/>
          <w:sz w:val="24"/>
          <w:szCs w:val="24"/>
          <w:lang w:val="en-US"/>
        </w:rPr>
        <w:t xml:space="preserve"> or rather simplify the accounting and consolidations operations much easier compared to how it has always been reported. The new changes will help in the reduction of financial reporting costs. Later </w:t>
      </w:r>
      <w:r w:rsidR="00DD3A85" w:rsidRPr="00D96B65">
        <w:rPr>
          <w:rFonts w:ascii="Times New Roman" w:hAnsi="Times New Roman" w:cs="Times New Roman"/>
          <w:sz w:val="24"/>
          <w:szCs w:val="24"/>
          <w:lang w:val="en-US"/>
        </w:rPr>
        <w:t>on,</w:t>
      </w:r>
      <w:r w:rsidRPr="00D96B65">
        <w:rPr>
          <w:rFonts w:ascii="Times New Roman" w:hAnsi="Times New Roman" w:cs="Times New Roman"/>
          <w:sz w:val="24"/>
          <w:szCs w:val="24"/>
          <w:lang w:val="en-US"/>
        </w:rPr>
        <w:t xml:space="preserve"> when the changes shall have been incorporated into the </w:t>
      </w:r>
      <w:r w:rsidR="001A29BD">
        <w:rPr>
          <w:rFonts w:ascii="Times New Roman" w:hAnsi="Times New Roman" w:cs="Times New Roman"/>
          <w:sz w:val="24"/>
          <w:szCs w:val="24"/>
          <w:lang w:val="en-US"/>
        </w:rPr>
        <w:t>c</w:t>
      </w:r>
      <w:r w:rsidRPr="00D96B65">
        <w:rPr>
          <w:rFonts w:ascii="Times New Roman" w:hAnsi="Times New Roman" w:cs="Times New Roman"/>
          <w:sz w:val="24"/>
          <w:szCs w:val="24"/>
          <w:lang w:val="en-US"/>
        </w:rPr>
        <w:t>orporation’s system</w:t>
      </w:r>
      <w:r w:rsidR="001A29BD">
        <w:rPr>
          <w:rFonts w:ascii="Times New Roman" w:hAnsi="Times New Roman" w:cs="Times New Roman"/>
          <w:sz w:val="24"/>
          <w:szCs w:val="24"/>
          <w:lang w:val="en-US"/>
        </w:rPr>
        <w:t>,</w:t>
      </w:r>
      <w:r w:rsidRPr="00D96B65">
        <w:rPr>
          <w:rFonts w:ascii="Times New Roman" w:hAnsi="Times New Roman" w:cs="Times New Roman"/>
          <w:sz w:val="24"/>
          <w:szCs w:val="24"/>
          <w:lang w:val="en-US"/>
        </w:rPr>
        <w:t xml:space="preserve"> then it will go back to being the global competitive financial giant.</w:t>
      </w:r>
    </w:p>
    <w:p w14:paraId="707CE4E4" w14:textId="77777777" w:rsidR="00D96B65" w:rsidRPr="00D96B65" w:rsidRDefault="00D96B65" w:rsidP="00C22979">
      <w:pPr>
        <w:spacing w:line="480" w:lineRule="auto"/>
        <w:rPr>
          <w:rFonts w:ascii="Times New Roman" w:hAnsi="Times New Roman" w:cs="Times New Roman"/>
          <w:b/>
          <w:bCs/>
          <w:sz w:val="24"/>
          <w:szCs w:val="24"/>
          <w:lang w:val="en-US"/>
        </w:rPr>
      </w:pPr>
      <w:r w:rsidRPr="00D96B65">
        <w:rPr>
          <w:rFonts w:ascii="Times New Roman" w:hAnsi="Times New Roman" w:cs="Times New Roman"/>
          <w:b/>
          <w:bCs/>
          <w:sz w:val="24"/>
          <w:szCs w:val="24"/>
          <w:lang w:val="en-US"/>
        </w:rPr>
        <w:t>Question 3</w:t>
      </w:r>
    </w:p>
    <w:p w14:paraId="0265F0CC" w14:textId="1F162782" w:rsidR="00D96B65" w:rsidRPr="00D96B65" w:rsidRDefault="00D96B65" w:rsidP="00C22979">
      <w:pPr>
        <w:spacing w:line="480" w:lineRule="auto"/>
        <w:ind w:firstLine="720"/>
        <w:rPr>
          <w:rFonts w:ascii="Times New Roman" w:hAnsi="Times New Roman" w:cs="Times New Roman"/>
          <w:sz w:val="24"/>
          <w:szCs w:val="24"/>
          <w:lang w:val="en-US"/>
        </w:rPr>
      </w:pPr>
      <w:r w:rsidRPr="00D96B65">
        <w:rPr>
          <w:rFonts w:ascii="Times New Roman" w:hAnsi="Times New Roman" w:cs="Times New Roman"/>
          <w:sz w:val="24"/>
          <w:szCs w:val="24"/>
          <w:lang w:val="en-US"/>
        </w:rPr>
        <w:t>The Financial Accounting Standards Board’s (FASB) primary reason for issuing FAS 141 and FAS 160 is that it needed all the business entities both within and those with international subsidiaries to be on the same page with the growing changes accustomed by the varied use of IFRS and GAAP (</w:t>
      </w:r>
      <w:r w:rsidR="00DE5B48" w:rsidRPr="00D96B65">
        <w:rPr>
          <w:rFonts w:ascii="Times New Roman" w:hAnsi="Times New Roman" w:cs="Times New Roman"/>
          <w:sz w:val="24"/>
          <w:szCs w:val="24"/>
          <w:lang w:val="en-US"/>
        </w:rPr>
        <w:t>James, 2010</w:t>
      </w:r>
      <w:r w:rsidRPr="00D96B65">
        <w:rPr>
          <w:rFonts w:ascii="Times New Roman" w:hAnsi="Times New Roman" w:cs="Times New Roman"/>
          <w:sz w:val="24"/>
          <w:szCs w:val="24"/>
          <w:lang w:val="en-US"/>
        </w:rPr>
        <w:t>).  The intention was also seconded by the reason to try and solve the problems that were associated with varied use</w:t>
      </w:r>
      <w:r w:rsidR="001A29BD">
        <w:rPr>
          <w:rFonts w:ascii="Times New Roman" w:hAnsi="Times New Roman" w:cs="Times New Roman"/>
          <w:sz w:val="24"/>
          <w:szCs w:val="24"/>
          <w:lang w:val="en-US"/>
        </w:rPr>
        <w:t>s</w:t>
      </w:r>
      <w:r w:rsidRPr="00D96B65">
        <w:rPr>
          <w:rFonts w:ascii="Times New Roman" w:hAnsi="Times New Roman" w:cs="Times New Roman"/>
          <w:sz w:val="24"/>
          <w:szCs w:val="24"/>
          <w:lang w:val="en-US"/>
        </w:rPr>
        <w:t xml:space="preserve"> of IFRS and GAAP. The head of finance at Klugen Corporation admits that there had been problems of complexity caused by handling the financial reports from one system to another</w:t>
      </w:r>
      <w:r w:rsidR="0051233C">
        <w:rPr>
          <w:rFonts w:ascii="Times New Roman" w:hAnsi="Times New Roman" w:cs="Times New Roman"/>
          <w:sz w:val="24"/>
          <w:szCs w:val="24"/>
          <w:lang w:val="en-US"/>
        </w:rPr>
        <w:t xml:space="preserve"> (</w:t>
      </w:r>
      <w:r w:rsidR="0051233C" w:rsidRPr="00D96B65">
        <w:rPr>
          <w:rFonts w:ascii="Times New Roman" w:hAnsi="Times New Roman" w:cs="Times New Roman"/>
          <w:sz w:val="24"/>
          <w:szCs w:val="24"/>
          <w:lang w:val="en-US"/>
        </w:rPr>
        <w:t>James, 2010</w:t>
      </w:r>
      <w:r w:rsidR="0051233C">
        <w:rPr>
          <w:rFonts w:ascii="Times New Roman" w:hAnsi="Times New Roman" w:cs="Times New Roman"/>
          <w:sz w:val="24"/>
          <w:szCs w:val="24"/>
          <w:lang w:val="en-US"/>
        </w:rPr>
        <w:t>)</w:t>
      </w:r>
      <w:r w:rsidRPr="00D96B65">
        <w:rPr>
          <w:rFonts w:ascii="Times New Roman" w:hAnsi="Times New Roman" w:cs="Times New Roman"/>
          <w:sz w:val="24"/>
          <w:szCs w:val="24"/>
          <w:lang w:val="en-US"/>
        </w:rPr>
        <w:t>. Such a problem was wholesome in nature when the case studied corporation was converting its subsidiary financial statements from the countries of base in Europe back to the systems as offered by the American based GAAP system</w:t>
      </w:r>
      <w:r w:rsidR="00712E79">
        <w:rPr>
          <w:rFonts w:ascii="Times New Roman" w:hAnsi="Times New Roman" w:cs="Times New Roman"/>
          <w:sz w:val="24"/>
          <w:szCs w:val="24"/>
          <w:lang w:val="en-US"/>
        </w:rPr>
        <w:t>’</w:t>
      </w:r>
      <w:r w:rsidRPr="00D96B65">
        <w:rPr>
          <w:rFonts w:ascii="Times New Roman" w:hAnsi="Times New Roman" w:cs="Times New Roman"/>
          <w:sz w:val="24"/>
          <w:szCs w:val="24"/>
          <w:lang w:val="en-US"/>
        </w:rPr>
        <w:t>s</w:t>
      </w:r>
      <w:r w:rsidR="00DE5B48">
        <w:rPr>
          <w:rFonts w:ascii="Times New Roman" w:hAnsi="Times New Roman" w:cs="Times New Roman"/>
          <w:sz w:val="24"/>
          <w:szCs w:val="24"/>
          <w:lang w:val="en-US"/>
        </w:rPr>
        <w:t xml:space="preserve"> Financial Accounting Standards, </w:t>
      </w:r>
      <w:r w:rsidR="00712E79">
        <w:rPr>
          <w:rFonts w:ascii="Times New Roman" w:hAnsi="Times New Roman" w:cs="Times New Roman"/>
          <w:sz w:val="24"/>
          <w:szCs w:val="24"/>
          <w:lang w:val="en-US"/>
        </w:rPr>
        <w:t>(</w:t>
      </w:r>
      <w:r w:rsidR="00DE5B48">
        <w:rPr>
          <w:rFonts w:ascii="Times New Roman" w:hAnsi="Times New Roman" w:cs="Times New Roman"/>
          <w:sz w:val="24"/>
          <w:szCs w:val="24"/>
          <w:lang w:val="en-US"/>
        </w:rPr>
        <w:t>2007)</w:t>
      </w:r>
      <w:r w:rsidRPr="00D96B65">
        <w:rPr>
          <w:rFonts w:ascii="Times New Roman" w:hAnsi="Times New Roman" w:cs="Times New Roman"/>
          <w:sz w:val="24"/>
          <w:szCs w:val="24"/>
          <w:lang w:val="en-US"/>
        </w:rPr>
        <w:t>. This was realized as pertinent difficulties among the uses of two different systems to analyze a single entity’s reports.</w:t>
      </w:r>
    </w:p>
    <w:p w14:paraId="1BD3803A" w14:textId="77777777" w:rsidR="00D96B65" w:rsidRPr="00D96B65" w:rsidRDefault="00D96B65" w:rsidP="00C22979">
      <w:pPr>
        <w:spacing w:line="480" w:lineRule="auto"/>
        <w:rPr>
          <w:rFonts w:ascii="Times New Roman" w:hAnsi="Times New Roman" w:cs="Times New Roman"/>
          <w:b/>
          <w:bCs/>
          <w:sz w:val="24"/>
          <w:szCs w:val="24"/>
          <w:lang w:val="en-US"/>
        </w:rPr>
      </w:pPr>
      <w:r w:rsidRPr="00D96B65">
        <w:rPr>
          <w:rFonts w:ascii="Times New Roman" w:hAnsi="Times New Roman" w:cs="Times New Roman"/>
          <w:b/>
          <w:bCs/>
          <w:sz w:val="24"/>
          <w:szCs w:val="24"/>
          <w:lang w:val="en-US"/>
        </w:rPr>
        <w:lastRenderedPageBreak/>
        <w:t>Question 4</w:t>
      </w:r>
    </w:p>
    <w:p w14:paraId="1E607144" w14:textId="77777777" w:rsidR="00712E79" w:rsidRDefault="00D96B65" w:rsidP="00C22979">
      <w:pPr>
        <w:spacing w:line="480" w:lineRule="auto"/>
        <w:ind w:firstLine="720"/>
        <w:rPr>
          <w:rFonts w:ascii="Times New Roman" w:hAnsi="Times New Roman" w:cs="Times New Roman"/>
          <w:sz w:val="24"/>
          <w:szCs w:val="24"/>
          <w:lang w:val="en-US"/>
        </w:rPr>
      </w:pPr>
      <w:r w:rsidRPr="00D96B65">
        <w:rPr>
          <w:rFonts w:ascii="Times New Roman" w:hAnsi="Times New Roman" w:cs="Times New Roman"/>
          <w:sz w:val="24"/>
          <w:szCs w:val="24"/>
          <w:lang w:val="en-US"/>
        </w:rPr>
        <w:t>The qualifying Special Purpose Entities (SPEs) are the reports accounting for transfers of financial assets. The study illustrates that there are business organizations that inadvertently failed to outline the provision of these SPEs and therefore</w:t>
      </w:r>
      <w:r w:rsidR="00CC734C">
        <w:rPr>
          <w:rFonts w:ascii="Times New Roman" w:hAnsi="Times New Roman" w:cs="Times New Roman"/>
          <w:sz w:val="24"/>
          <w:szCs w:val="24"/>
          <w:lang w:val="en-US"/>
        </w:rPr>
        <w:t>,</w:t>
      </w:r>
      <w:r w:rsidRPr="00D96B65">
        <w:rPr>
          <w:rFonts w:ascii="Times New Roman" w:hAnsi="Times New Roman" w:cs="Times New Roman"/>
          <w:sz w:val="24"/>
          <w:szCs w:val="24"/>
          <w:lang w:val="en-US"/>
        </w:rPr>
        <w:t xml:space="preserve"> with the new system that is to be adopted (IFRS) most entities will have to provide assessments on them. Klugen Corporation reports not to have had it at the time of inception in 2009.</w:t>
      </w:r>
    </w:p>
    <w:p w14:paraId="20A47120" w14:textId="61D1F015" w:rsidR="00D96B65" w:rsidRPr="00D96B65" w:rsidRDefault="00D96B65" w:rsidP="00C22979">
      <w:pPr>
        <w:spacing w:line="480" w:lineRule="auto"/>
        <w:ind w:firstLine="720"/>
        <w:rPr>
          <w:rFonts w:ascii="Times New Roman" w:hAnsi="Times New Roman" w:cs="Times New Roman"/>
          <w:sz w:val="24"/>
          <w:szCs w:val="24"/>
          <w:lang w:val="en-US"/>
        </w:rPr>
      </w:pPr>
      <w:r w:rsidRPr="00D96B65">
        <w:rPr>
          <w:rFonts w:ascii="Times New Roman" w:hAnsi="Times New Roman" w:cs="Times New Roman"/>
          <w:sz w:val="24"/>
          <w:szCs w:val="24"/>
          <w:lang w:val="en-US"/>
        </w:rPr>
        <w:t>These Special Purpose Entities are accounted</w:t>
      </w:r>
      <w:r w:rsidR="001A29BD">
        <w:rPr>
          <w:rFonts w:ascii="Times New Roman" w:hAnsi="Times New Roman" w:cs="Times New Roman"/>
          <w:sz w:val="24"/>
          <w:szCs w:val="24"/>
          <w:lang w:val="en-US"/>
        </w:rPr>
        <w:t xml:space="preserve"> for</w:t>
      </w:r>
      <w:r w:rsidRPr="00D96B65">
        <w:rPr>
          <w:rFonts w:ascii="Times New Roman" w:hAnsi="Times New Roman" w:cs="Times New Roman"/>
          <w:sz w:val="24"/>
          <w:szCs w:val="24"/>
          <w:lang w:val="en-US"/>
        </w:rPr>
        <w:t xml:space="preserve"> financial assets transfer that are to be qualified by an organization as captured by the new policy to be adopted (IFRS) (</w:t>
      </w:r>
      <w:r w:rsidR="00DE5B48" w:rsidRPr="00D96B65">
        <w:rPr>
          <w:rFonts w:ascii="Times New Roman" w:hAnsi="Times New Roman" w:cs="Times New Roman"/>
          <w:sz w:val="24"/>
          <w:szCs w:val="24"/>
          <w:lang w:val="en-US"/>
        </w:rPr>
        <w:t>James, 2010</w:t>
      </w:r>
      <w:r w:rsidRPr="00D96B65">
        <w:rPr>
          <w:rFonts w:ascii="Times New Roman" w:hAnsi="Times New Roman" w:cs="Times New Roman"/>
          <w:sz w:val="24"/>
          <w:szCs w:val="24"/>
          <w:lang w:val="en-US"/>
        </w:rPr>
        <w:t>). The effect of FAS 166 eliminating the concept of qualifying SPEs on the convergence of accounting standards are that it will require given member entities to absorb losses, and benefit from gains as well as defining a company’s power in terms of if the beneficiary has the most significant impact on the entity’s performance</w:t>
      </w:r>
    </w:p>
    <w:p w14:paraId="5F94AC9E" w14:textId="77777777" w:rsidR="00D96B65" w:rsidRPr="00D96B65" w:rsidRDefault="00D96B65" w:rsidP="00C22979">
      <w:pPr>
        <w:spacing w:line="480" w:lineRule="auto"/>
        <w:rPr>
          <w:rFonts w:ascii="Times New Roman" w:hAnsi="Times New Roman" w:cs="Times New Roman"/>
          <w:b/>
          <w:bCs/>
          <w:sz w:val="24"/>
          <w:szCs w:val="24"/>
          <w:lang w:val="en-US"/>
        </w:rPr>
      </w:pPr>
      <w:r w:rsidRPr="00D96B65">
        <w:rPr>
          <w:rFonts w:ascii="Times New Roman" w:hAnsi="Times New Roman" w:cs="Times New Roman"/>
          <w:b/>
          <w:bCs/>
          <w:sz w:val="24"/>
          <w:szCs w:val="24"/>
          <w:lang w:val="en-US"/>
        </w:rPr>
        <w:t>Question 5</w:t>
      </w:r>
    </w:p>
    <w:p w14:paraId="65AF1AFD" w14:textId="189BC8CC" w:rsidR="00D96B65" w:rsidRPr="00D96B65" w:rsidRDefault="00D96B65" w:rsidP="00C22979">
      <w:pPr>
        <w:spacing w:line="480" w:lineRule="auto"/>
        <w:ind w:firstLine="720"/>
        <w:rPr>
          <w:rFonts w:ascii="Times New Roman" w:hAnsi="Times New Roman" w:cs="Times New Roman"/>
          <w:sz w:val="24"/>
          <w:szCs w:val="24"/>
          <w:lang w:val="en-US"/>
        </w:rPr>
      </w:pPr>
      <w:r w:rsidRPr="00D96B65">
        <w:rPr>
          <w:rFonts w:ascii="Times New Roman" w:hAnsi="Times New Roman" w:cs="Times New Roman"/>
          <w:sz w:val="24"/>
          <w:szCs w:val="24"/>
          <w:lang w:val="en-US"/>
        </w:rPr>
        <w:t>If the company adopts IFRS, the management will be aware of changes that are received in terms of long</w:t>
      </w:r>
      <w:r w:rsidR="001A29BD">
        <w:rPr>
          <w:rFonts w:ascii="Times New Roman" w:hAnsi="Times New Roman" w:cs="Times New Roman"/>
          <w:sz w:val="24"/>
          <w:szCs w:val="24"/>
          <w:lang w:val="en-US"/>
        </w:rPr>
        <w:t>-</w:t>
      </w:r>
      <w:r w:rsidRPr="00D96B65">
        <w:rPr>
          <w:rFonts w:ascii="Times New Roman" w:hAnsi="Times New Roman" w:cs="Times New Roman"/>
          <w:sz w:val="24"/>
          <w:szCs w:val="24"/>
          <w:lang w:val="en-US"/>
        </w:rPr>
        <w:t>run financial reporting. The essence</w:t>
      </w:r>
      <w:r w:rsidR="001A29BD">
        <w:rPr>
          <w:rFonts w:ascii="Times New Roman" w:hAnsi="Times New Roman" w:cs="Times New Roman"/>
          <w:sz w:val="24"/>
          <w:szCs w:val="24"/>
          <w:lang w:val="en-US"/>
        </w:rPr>
        <w:t>, in this case,</w:t>
      </w:r>
      <w:r w:rsidRPr="00D96B65">
        <w:rPr>
          <w:rFonts w:ascii="Times New Roman" w:hAnsi="Times New Roman" w:cs="Times New Roman"/>
          <w:sz w:val="24"/>
          <w:szCs w:val="24"/>
          <w:lang w:val="en-US"/>
        </w:rPr>
        <w:t xml:space="preserve"> </w:t>
      </w:r>
      <w:r w:rsidR="001A29BD">
        <w:rPr>
          <w:rFonts w:ascii="Times New Roman" w:hAnsi="Times New Roman" w:cs="Times New Roman"/>
          <w:sz w:val="24"/>
          <w:szCs w:val="24"/>
          <w:lang w:val="en-US"/>
        </w:rPr>
        <w:t>is</w:t>
      </w:r>
      <w:r w:rsidRPr="00D96B65">
        <w:rPr>
          <w:rFonts w:ascii="Times New Roman" w:hAnsi="Times New Roman" w:cs="Times New Roman"/>
          <w:sz w:val="24"/>
          <w:szCs w:val="24"/>
          <w:lang w:val="en-US"/>
        </w:rPr>
        <w:t xml:space="preserve"> that documentations and costs will be far lesser in comparison to the way it used to be done before the company receives the new system of financial operation. The analysis of goodwill impairment tests will be much clearer and universal for all publicly traded entities.</w:t>
      </w:r>
    </w:p>
    <w:p w14:paraId="09AB43D7" w14:textId="77777777" w:rsidR="00D96B65" w:rsidRPr="00D96B65" w:rsidRDefault="00D96B65" w:rsidP="00C22979">
      <w:pPr>
        <w:spacing w:line="480" w:lineRule="auto"/>
        <w:rPr>
          <w:rFonts w:ascii="Times New Roman" w:hAnsi="Times New Roman" w:cs="Times New Roman"/>
          <w:b/>
          <w:bCs/>
          <w:sz w:val="24"/>
          <w:szCs w:val="24"/>
          <w:lang w:val="en-US"/>
        </w:rPr>
      </w:pPr>
      <w:r w:rsidRPr="00D96B65">
        <w:rPr>
          <w:rFonts w:ascii="Times New Roman" w:hAnsi="Times New Roman" w:cs="Times New Roman"/>
          <w:b/>
          <w:bCs/>
          <w:sz w:val="24"/>
          <w:szCs w:val="24"/>
          <w:lang w:val="en-US"/>
        </w:rPr>
        <w:t>Question 6</w:t>
      </w:r>
    </w:p>
    <w:p w14:paraId="0A56401D" w14:textId="2C76EA21" w:rsidR="00D96B65" w:rsidRPr="00D96B65" w:rsidRDefault="00D96B65" w:rsidP="00C22979">
      <w:pPr>
        <w:spacing w:line="480" w:lineRule="auto"/>
        <w:ind w:firstLine="720"/>
        <w:rPr>
          <w:rFonts w:ascii="Times New Roman" w:hAnsi="Times New Roman" w:cs="Times New Roman"/>
          <w:sz w:val="24"/>
          <w:szCs w:val="24"/>
          <w:lang w:val="en-US"/>
        </w:rPr>
      </w:pPr>
      <w:r w:rsidRPr="00D96B65">
        <w:rPr>
          <w:rFonts w:ascii="Times New Roman" w:hAnsi="Times New Roman" w:cs="Times New Roman"/>
          <w:sz w:val="24"/>
          <w:szCs w:val="24"/>
          <w:lang w:val="en-US"/>
        </w:rPr>
        <w:t>The principle differences between IFRS and GAAD are captured in their definition of control</w:t>
      </w:r>
      <w:r w:rsidR="00712E79">
        <w:rPr>
          <w:rFonts w:ascii="Times New Roman" w:hAnsi="Times New Roman" w:cs="Times New Roman"/>
          <w:sz w:val="24"/>
          <w:szCs w:val="24"/>
          <w:lang w:val="en-US"/>
        </w:rPr>
        <w:t xml:space="preserve"> (Financial Accounting Standards Board, 2009)</w:t>
      </w:r>
      <w:r w:rsidRPr="00D96B65">
        <w:rPr>
          <w:rFonts w:ascii="Times New Roman" w:hAnsi="Times New Roman" w:cs="Times New Roman"/>
          <w:sz w:val="24"/>
          <w:szCs w:val="24"/>
          <w:lang w:val="en-US"/>
        </w:rPr>
        <w:t xml:space="preserve">. Whereas U.S GAAP defines control based on interpretation of who owns the majority of voting interests, IFRS pins its definition of the same on the basis of power to govern financial and operating policies. The latter </w:t>
      </w:r>
      <w:r w:rsidRPr="00D96B65">
        <w:rPr>
          <w:rFonts w:ascii="Times New Roman" w:hAnsi="Times New Roman" w:cs="Times New Roman"/>
          <w:sz w:val="24"/>
          <w:szCs w:val="24"/>
          <w:lang w:val="en-US"/>
        </w:rPr>
        <w:lastRenderedPageBreak/>
        <w:t>system posits that the chief goal of the organization is determined by the activities which in turn generate benefits for controlling that particular business entity.</w:t>
      </w:r>
    </w:p>
    <w:p w14:paraId="07AC3685" w14:textId="77777777" w:rsidR="00037C81" w:rsidRDefault="00037C81" w:rsidP="00C2297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9E64412" w14:textId="1501F8A3" w:rsidR="00D96B65" w:rsidRPr="00D96B65" w:rsidRDefault="00D96B65" w:rsidP="00C22979">
      <w:pPr>
        <w:spacing w:line="480" w:lineRule="auto"/>
        <w:jc w:val="center"/>
        <w:rPr>
          <w:rFonts w:ascii="Times New Roman" w:hAnsi="Times New Roman" w:cs="Times New Roman"/>
          <w:sz w:val="24"/>
          <w:szCs w:val="24"/>
          <w:lang w:val="en-US"/>
        </w:rPr>
      </w:pPr>
      <w:r w:rsidRPr="00D96B65">
        <w:rPr>
          <w:rFonts w:ascii="Times New Roman" w:hAnsi="Times New Roman" w:cs="Times New Roman"/>
          <w:sz w:val="24"/>
          <w:szCs w:val="24"/>
          <w:lang w:val="en-US"/>
        </w:rPr>
        <w:lastRenderedPageBreak/>
        <w:t>References</w:t>
      </w:r>
    </w:p>
    <w:p w14:paraId="12A1AD53" w14:textId="77777777" w:rsidR="008F492B" w:rsidRPr="00D96B65" w:rsidRDefault="008F492B" w:rsidP="00C22979">
      <w:pPr>
        <w:spacing w:line="480" w:lineRule="auto"/>
        <w:ind w:left="720" w:hanging="720"/>
        <w:rPr>
          <w:rFonts w:ascii="Times New Roman" w:hAnsi="Times New Roman" w:cs="Times New Roman"/>
          <w:sz w:val="24"/>
          <w:szCs w:val="24"/>
          <w:lang w:val="en-US"/>
        </w:rPr>
      </w:pPr>
      <w:r w:rsidRPr="00D96B65">
        <w:rPr>
          <w:rFonts w:ascii="Times New Roman" w:hAnsi="Times New Roman" w:cs="Times New Roman"/>
          <w:sz w:val="24"/>
          <w:szCs w:val="24"/>
          <w:lang w:val="en-US"/>
        </w:rPr>
        <w:t xml:space="preserve">Financial Accounting Standards Board (2007). FASB Statement No. 141R. Business Combinations. Retrieved from </w:t>
      </w:r>
      <w:hyperlink r:id="rId6" w:history="1">
        <w:r w:rsidRPr="00D96B65">
          <w:rPr>
            <w:rStyle w:val="Hyperlink"/>
            <w:rFonts w:ascii="Times New Roman" w:hAnsi="Times New Roman" w:cs="Times New Roman"/>
            <w:sz w:val="24"/>
            <w:szCs w:val="24"/>
            <w:lang w:val="en-US"/>
          </w:rPr>
          <w:t>http://www.fasb.org</w:t>
        </w:r>
      </w:hyperlink>
      <w:r w:rsidRPr="00D96B65">
        <w:rPr>
          <w:rFonts w:ascii="Times New Roman" w:hAnsi="Times New Roman" w:cs="Times New Roman"/>
          <w:sz w:val="24"/>
          <w:szCs w:val="24"/>
          <w:lang w:val="en-US"/>
        </w:rPr>
        <w:t>.</w:t>
      </w:r>
    </w:p>
    <w:p w14:paraId="5F82F32F" w14:textId="77777777" w:rsidR="008F492B" w:rsidRPr="00D96B65" w:rsidRDefault="008F492B" w:rsidP="00C22979">
      <w:pPr>
        <w:spacing w:line="480" w:lineRule="auto"/>
        <w:ind w:left="720" w:hanging="720"/>
        <w:rPr>
          <w:rFonts w:ascii="Times New Roman" w:hAnsi="Times New Roman" w:cs="Times New Roman"/>
          <w:sz w:val="24"/>
          <w:szCs w:val="24"/>
          <w:lang w:val="en-US"/>
        </w:rPr>
      </w:pPr>
      <w:r w:rsidRPr="00D96B65">
        <w:rPr>
          <w:rFonts w:ascii="Times New Roman" w:hAnsi="Times New Roman" w:cs="Times New Roman"/>
          <w:sz w:val="24"/>
          <w:szCs w:val="24"/>
          <w:lang w:val="en-US"/>
        </w:rPr>
        <w:t xml:space="preserve">Financial Accounting Standards Board (2009). FASB Accounting Standards Codification. </w:t>
      </w:r>
      <w:hyperlink r:id="rId7" w:history="1">
        <w:r w:rsidRPr="00D96B65">
          <w:rPr>
            <w:rStyle w:val="Hyperlink"/>
            <w:rFonts w:ascii="Times New Roman" w:hAnsi="Times New Roman" w:cs="Times New Roman"/>
            <w:sz w:val="24"/>
            <w:szCs w:val="24"/>
            <w:lang w:val="en-US"/>
          </w:rPr>
          <w:t>Http://www.fasb.org</w:t>
        </w:r>
      </w:hyperlink>
    </w:p>
    <w:p w14:paraId="3DB84E75" w14:textId="77777777" w:rsidR="008F492B" w:rsidRPr="00D96B65" w:rsidRDefault="008F492B" w:rsidP="00C22979">
      <w:pPr>
        <w:spacing w:line="480" w:lineRule="auto"/>
        <w:ind w:left="720" w:hanging="720"/>
        <w:rPr>
          <w:rFonts w:ascii="Times New Roman" w:hAnsi="Times New Roman" w:cs="Times New Roman"/>
          <w:sz w:val="24"/>
          <w:szCs w:val="24"/>
          <w:lang w:val="en-US"/>
        </w:rPr>
      </w:pPr>
      <w:r w:rsidRPr="00D96B65">
        <w:rPr>
          <w:rFonts w:ascii="Times New Roman" w:hAnsi="Times New Roman" w:cs="Times New Roman"/>
          <w:sz w:val="24"/>
          <w:szCs w:val="24"/>
          <w:lang w:val="en-US"/>
        </w:rPr>
        <w:t xml:space="preserve">James, M. L. (2010). </w:t>
      </w:r>
      <w:r w:rsidRPr="00D96B65">
        <w:rPr>
          <w:rFonts w:ascii="Times New Roman" w:hAnsi="Times New Roman" w:cs="Times New Roman"/>
          <w:i/>
          <w:iCs/>
          <w:sz w:val="24"/>
          <w:szCs w:val="24"/>
          <w:lang w:val="en-US"/>
        </w:rPr>
        <w:t xml:space="preserve">Accounting for business combinations and the convergence of International Financial Reporting Standards with U.S. Generally Accepted Accounting Principles: A case study. </w:t>
      </w:r>
      <w:r w:rsidRPr="00D96B65">
        <w:rPr>
          <w:rFonts w:ascii="Times New Roman" w:hAnsi="Times New Roman" w:cs="Times New Roman"/>
          <w:sz w:val="24"/>
          <w:szCs w:val="24"/>
          <w:lang w:val="en-US"/>
        </w:rPr>
        <w:t>Journal of the International Academy for Case Studies, 16(1), 95-108.</w:t>
      </w:r>
    </w:p>
    <w:p w14:paraId="62A6A60F" w14:textId="65537CE9" w:rsidR="008F492B" w:rsidRPr="00DE7647" w:rsidRDefault="008F492B" w:rsidP="00C22979">
      <w:pPr>
        <w:spacing w:line="480" w:lineRule="auto"/>
        <w:ind w:left="720" w:hanging="720"/>
        <w:rPr>
          <w:rFonts w:ascii="Times New Roman" w:hAnsi="Times New Roman" w:cs="Times New Roman"/>
          <w:sz w:val="24"/>
          <w:szCs w:val="24"/>
          <w:lang w:val="en-US"/>
        </w:rPr>
      </w:pPr>
      <w:r w:rsidRPr="00D96B65">
        <w:rPr>
          <w:rFonts w:ascii="Times New Roman" w:hAnsi="Times New Roman" w:cs="Times New Roman"/>
          <w:sz w:val="24"/>
          <w:szCs w:val="24"/>
          <w:lang w:val="en-US"/>
        </w:rPr>
        <w:t xml:space="preserve">Securities and Exchange Commission (2008). Roadmap for the Potential Use of Financial Statements Prepared in Accordance </w:t>
      </w:r>
      <w:r w:rsidR="00DD3A85" w:rsidRPr="00D96B65">
        <w:rPr>
          <w:rFonts w:ascii="Times New Roman" w:hAnsi="Times New Roman" w:cs="Times New Roman"/>
          <w:sz w:val="24"/>
          <w:szCs w:val="24"/>
          <w:lang w:val="en-US"/>
        </w:rPr>
        <w:t>with</w:t>
      </w:r>
      <w:r w:rsidRPr="00D96B65">
        <w:rPr>
          <w:rFonts w:ascii="Times New Roman" w:hAnsi="Times New Roman" w:cs="Times New Roman"/>
          <w:sz w:val="24"/>
          <w:szCs w:val="24"/>
          <w:lang w:val="en-US"/>
        </w:rPr>
        <w:t xml:space="preserve"> International Financial Reporting Standards by U.S. Issuers. Release No.: 33-8982, File No. S7-27-08.  Retrieved on November 19, from http://www.sec.gov.</w:t>
      </w:r>
    </w:p>
    <w:sectPr w:rsidR="008F492B" w:rsidRPr="00DE7647" w:rsidSect="00CD0155">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A028FD" w14:textId="77777777" w:rsidR="00276F0B" w:rsidRDefault="00276F0B" w:rsidP="00CD0155">
      <w:pPr>
        <w:spacing w:after="0" w:line="240" w:lineRule="auto"/>
      </w:pPr>
      <w:r>
        <w:separator/>
      </w:r>
    </w:p>
  </w:endnote>
  <w:endnote w:type="continuationSeparator" w:id="0">
    <w:p w14:paraId="23A96667" w14:textId="77777777" w:rsidR="00276F0B" w:rsidRDefault="00276F0B" w:rsidP="00CD0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27DCC8" w14:textId="77777777" w:rsidR="00276F0B" w:rsidRDefault="00276F0B" w:rsidP="00CD0155">
      <w:pPr>
        <w:spacing w:after="0" w:line="240" w:lineRule="auto"/>
      </w:pPr>
      <w:r>
        <w:separator/>
      </w:r>
    </w:p>
  </w:footnote>
  <w:footnote w:type="continuationSeparator" w:id="0">
    <w:p w14:paraId="7BF03902" w14:textId="77777777" w:rsidR="00276F0B" w:rsidRDefault="00276F0B" w:rsidP="00CD0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38137983"/>
      <w:docPartObj>
        <w:docPartGallery w:val="Page Numbers (Top of Page)"/>
        <w:docPartUnique/>
      </w:docPartObj>
    </w:sdtPr>
    <w:sdtEndPr>
      <w:rPr>
        <w:noProof/>
      </w:rPr>
    </w:sdtEndPr>
    <w:sdtContent>
      <w:p w14:paraId="0F2AE001" w14:textId="23508DE1" w:rsidR="00CD0155" w:rsidRPr="00CD0155" w:rsidRDefault="00CD0155" w:rsidP="00CD0155">
        <w:pPr>
          <w:pStyle w:val="Header"/>
          <w:jc w:val="right"/>
          <w:rPr>
            <w:rFonts w:ascii="Times New Roman" w:hAnsi="Times New Roman" w:cs="Times New Roman"/>
            <w:sz w:val="24"/>
            <w:szCs w:val="24"/>
          </w:rPr>
        </w:pPr>
        <w:r w:rsidRPr="00CD0155">
          <w:rPr>
            <w:rFonts w:ascii="Times New Roman" w:hAnsi="Times New Roman" w:cs="Times New Roman"/>
            <w:sz w:val="24"/>
            <w:szCs w:val="24"/>
            <w:lang w:val="en-US"/>
          </w:rPr>
          <w:t>ACCOUNTING CASE STUDY ANALYSIS</w:t>
        </w:r>
        <w:r>
          <w:rPr>
            <w:rFonts w:ascii="Times New Roman" w:hAnsi="Times New Roman" w:cs="Times New Roman"/>
            <w:sz w:val="24"/>
            <w:szCs w:val="24"/>
          </w:rPr>
          <w:tab/>
        </w:r>
        <w:r>
          <w:rPr>
            <w:rFonts w:ascii="Times New Roman" w:hAnsi="Times New Roman" w:cs="Times New Roman"/>
            <w:sz w:val="24"/>
            <w:szCs w:val="24"/>
          </w:rPr>
          <w:tab/>
        </w:r>
        <w:r w:rsidRPr="00CD0155">
          <w:rPr>
            <w:rFonts w:ascii="Times New Roman" w:hAnsi="Times New Roman" w:cs="Times New Roman"/>
            <w:sz w:val="24"/>
            <w:szCs w:val="24"/>
          </w:rPr>
          <w:fldChar w:fldCharType="begin"/>
        </w:r>
        <w:r w:rsidRPr="00CD0155">
          <w:rPr>
            <w:rFonts w:ascii="Times New Roman" w:hAnsi="Times New Roman" w:cs="Times New Roman"/>
            <w:sz w:val="24"/>
            <w:szCs w:val="24"/>
          </w:rPr>
          <w:instrText xml:space="preserve"> PAGE   \* MERGEFORMAT </w:instrText>
        </w:r>
        <w:r w:rsidRPr="00CD0155">
          <w:rPr>
            <w:rFonts w:ascii="Times New Roman" w:hAnsi="Times New Roman" w:cs="Times New Roman"/>
            <w:sz w:val="24"/>
            <w:szCs w:val="24"/>
          </w:rPr>
          <w:fldChar w:fldCharType="separate"/>
        </w:r>
        <w:r w:rsidRPr="00CD0155">
          <w:rPr>
            <w:rFonts w:ascii="Times New Roman" w:hAnsi="Times New Roman" w:cs="Times New Roman"/>
            <w:noProof/>
            <w:sz w:val="24"/>
            <w:szCs w:val="24"/>
          </w:rPr>
          <w:t>2</w:t>
        </w:r>
        <w:r w:rsidRPr="00CD015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54688891"/>
      <w:docPartObj>
        <w:docPartGallery w:val="Page Numbers (Top of Page)"/>
        <w:docPartUnique/>
      </w:docPartObj>
    </w:sdtPr>
    <w:sdtEndPr>
      <w:rPr>
        <w:noProof/>
      </w:rPr>
    </w:sdtEndPr>
    <w:sdtContent>
      <w:p w14:paraId="406DFC77" w14:textId="2CB6C376" w:rsidR="00CD0155" w:rsidRPr="00CD0155" w:rsidRDefault="00CD0155" w:rsidP="00CD0155">
        <w:pPr>
          <w:pStyle w:val="Header"/>
          <w:jc w:val="right"/>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CD0155">
          <w:rPr>
            <w:rFonts w:ascii="Times New Roman" w:hAnsi="Times New Roman" w:cs="Times New Roman"/>
            <w:sz w:val="24"/>
            <w:szCs w:val="24"/>
            <w:lang w:val="en-US"/>
          </w:rPr>
          <w:t>ACCOUNTING CASE STUDY ANALYSIS</w:t>
        </w:r>
        <w:r>
          <w:rPr>
            <w:rFonts w:ascii="Times New Roman" w:hAnsi="Times New Roman" w:cs="Times New Roman"/>
            <w:sz w:val="24"/>
            <w:szCs w:val="24"/>
          </w:rPr>
          <w:tab/>
        </w:r>
        <w:r w:rsidRPr="00CD0155">
          <w:rPr>
            <w:rFonts w:ascii="Times New Roman" w:hAnsi="Times New Roman" w:cs="Times New Roman"/>
            <w:sz w:val="24"/>
            <w:szCs w:val="24"/>
          </w:rPr>
          <w:fldChar w:fldCharType="begin"/>
        </w:r>
        <w:r w:rsidRPr="00CD0155">
          <w:rPr>
            <w:rFonts w:ascii="Times New Roman" w:hAnsi="Times New Roman" w:cs="Times New Roman"/>
            <w:sz w:val="24"/>
            <w:szCs w:val="24"/>
          </w:rPr>
          <w:instrText xml:space="preserve"> PAGE   \* MERGEFORMAT </w:instrText>
        </w:r>
        <w:r w:rsidRPr="00CD0155">
          <w:rPr>
            <w:rFonts w:ascii="Times New Roman" w:hAnsi="Times New Roman" w:cs="Times New Roman"/>
            <w:sz w:val="24"/>
            <w:szCs w:val="24"/>
          </w:rPr>
          <w:fldChar w:fldCharType="separate"/>
        </w:r>
        <w:r w:rsidRPr="00CD0155">
          <w:rPr>
            <w:rFonts w:ascii="Times New Roman" w:hAnsi="Times New Roman" w:cs="Times New Roman"/>
            <w:noProof/>
            <w:sz w:val="24"/>
            <w:szCs w:val="24"/>
          </w:rPr>
          <w:t>2</w:t>
        </w:r>
        <w:r w:rsidRPr="00CD015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1tDQzsDQ0MzIzNTBS0lEKTi0uzszPAykwrAUAd/OSBywAAAA="/>
  </w:docVars>
  <w:rsids>
    <w:rsidRoot w:val="00DE7647"/>
    <w:rsid w:val="00037C81"/>
    <w:rsid w:val="001A29BD"/>
    <w:rsid w:val="00276F0B"/>
    <w:rsid w:val="0051233C"/>
    <w:rsid w:val="00705713"/>
    <w:rsid w:val="00712E79"/>
    <w:rsid w:val="00783275"/>
    <w:rsid w:val="008F492B"/>
    <w:rsid w:val="00C22979"/>
    <w:rsid w:val="00CC734C"/>
    <w:rsid w:val="00CD0155"/>
    <w:rsid w:val="00D96B65"/>
    <w:rsid w:val="00DD3A85"/>
    <w:rsid w:val="00DE5B48"/>
    <w:rsid w:val="00DE7647"/>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E65B5"/>
  <w15:chartTrackingRefBased/>
  <w15:docId w15:val="{693E9031-9257-40C7-9043-F6AFE6F21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6B65"/>
    <w:rPr>
      <w:color w:val="0563C1" w:themeColor="hyperlink"/>
      <w:u w:val="single"/>
    </w:rPr>
  </w:style>
  <w:style w:type="character" w:styleId="UnresolvedMention">
    <w:name w:val="Unresolved Mention"/>
    <w:basedOn w:val="DefaultParagraphFont"/>
    <w:uiPriority w:val="99"/>
    <w:semiHidden/>
    <w:unhideWhenUsed/>
    <w:rsid w:val="00D96B65"/>
    <w:rPr>
      <w:color w:val="605E5C"/>
      <w:shd w:val="clear" w:color="auto" w:fill="E1DFDD"/>
    </w:rPr>
  </w:style>
  <w:style w:type="paragraph" w:styleId="Header">
    <w:name w:val="header"/>
    <w:basedOn w:val="Normal"/>
    <w:link w:val="HeaderChar"/>
    <w:uiPriority w:val="99"/>
    <w:unhideWhenUsed/>
    <w:rsid w:val="00CD01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155"/>
  </w:style>
  <w:style w:type="paragraph" w:styleId="Footer">
    <w:name w:val="footer"/>
    <w:basedOn w:val="Normal"/>
    <w:link w:val="FooterChar"/>
    <w:uiPriority w:val="99"/>
    <w:unhideWhenUsed/>
    <w:rsid w:val="00CD01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fasb.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sb.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6</Pages>
  <Words>1010</Words>
  <Characters>5759</Characters>
  <Application>Microsoft Office Word</Application>
  <DocSecurity>0</DocSecurity>
  <Lines>47</Lines>
  <Paragraphs>13</Paragraphs>
  <ScaleCrop>false</ScaleCrop>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17</cp:revision>
  <dcterms:created xsi:type="dcterms:W3CDTF">2020-05-10T15:53:00Z</dcterms:created>
  <dcterms:modified xsi:type="dcterms:W3CDTF">2020-05-10T17:16:00Z</dcterms:modified>
</cp:coreProperties>
</file>